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735D" w14:textId="5DE09E55" w:rsidR="001A1302" w:rsidRPr="004E251D" w:rsidRDefault="00EE4B1B">
      <w:pPr>
        <w:rPr>
          <w:rFonts w:asciiTheme="majorHAnsi" w:hAnsiTheme="majorHAnsi" w:cstheme="majorHAnsi"/>
        </w:rPr>
      </w:pPr>
      <w:r w:rsidRPr="004E251D">
        <w:rPr>
          <w:rFonts w:asciiTheme="majorHAnsi" w:hAnsiTheme="majorHAnsi" w:cstheme="majorHAnsi"/>
        </w:rPr>
        <w:t>Diamond Place R</w:t>
      </w:r>
      <w:r w:rsidR="008A4AA0" w:rsidRPr="004E251D">
        <w:rPr>
          <w:rFonts w:asciiTheme="majorHAnsi" w:hAnsiTheme="majorHAnsi" w:cstheme="majorHAnsi"/>
        </w:rPr>
        <w:t>e</w:t>
      </w:r>
      <w:r w:rsidRPr="004E251D">
        <w:rPr>
          <w:rFonts w:asciiTheme="majorHAnsi" w:hAnsiTheme="majorHAnsi" w:cstheme="majorHAnsi"/>
        </w:rPr>
        <w:t>gen</w:t>
      </w:r>
      <w:r w:rsidR="008A4AA0" w:rsidRPr="004E251D">
        <w:rPr>
          <w:rFonts w:asciiTheme="majorHAnsi" w:hAnsiTheme="majorHAnsi" w:cstheme="majorHAnsi"/>
        </w:rPr>
        <w:t>e</w:t>
      </w:r>
      <w:r w:rsidRPr="004E251D">
        <w:rPr>
          <w:rFonts w:asciiTheme="majorHAnsi" w:hAnsiTheme="majorHAnsi" w:cstheme="majorHAnsi"/>
        </w:rPr>
        <w:t xml:space="preserve">ration: Community Priorities </w:t>
      </w:r>
    </w:p>
    <w:p w14:paraId="0D2705F0" w14:textId="183C76E1" w:rsidR="008A4AA0" w:rsidRPr="004E251D" w:rsidRDefault="008A4AA0">
      <w:pPr>
        <w:rPr>
          <w:rFonts w:asciiTheme="majorHAnsi" w:hAnsiTheme="majorHAnsi" w:cstheme="majorHAnsi"/>
        </w:rPr>
      </w:pPr>
      <w:r w:rsidRPr="004E251D">
        <w:rPr>
          <w:rFonts w:asciiTheme="majorHAnsi" w:hAnsiTheme="majorHAnsi" w:cstheme="majorHAnsi"/>
        </w:rPr>
        <w:t>January 2023</w:t>
      </w:r>
    </w:p>
    <w:p w14:paraId="62A952BA" w14:textId="14D7A43B" w:rsidR="008A4AA0" w:rsidRDefault="008A4AA0"/>
    <w:p w14:paraId="6D88DD6F" w14:textId="77777777" w:rsidR="008453BA" w:rsidRDefault="008453BA">
      <w:pPr>
        <w:rPr>
          <w:sz w:val="22"/>
          <w:szCs w:val="22"/>
        </w:rPr>
      </w:pPr>
    </w:p>
    <w:p w14:paraId="2FC42C2C" w14:textId="11D32D98" w:rsidR="008A4AA0" w:rsidRPr="004E251D" w:rsidRDefault="008A4AA0">
      <w:pPr>
        <w:rPr>
          <w:sz w:val="22"/>
          <w:szCs w:val="22"/>
        </w:rPr>
      </w:pPr>
      <w:r w:rsidRPr="004E251D">
        <w:rPr>
          <w:sz w:val="22"/>
          <w:szCs w:val="22"/>
        </w:rPr>
        <w:t xml:space="preserve">The following </w:t>
      </w:r>
      <w:r w:rsidR="004E251D" w:rsidRPr="004E251D">
        <w:rPr>
          <w:sz w:val="22"/>
          <w:szCs w:val="22"/>
        </w:rPr>
        <w:t xml:space="preserve">priorities </w:t>
      </w:r>
      <w:r w:rsidRPr="004E251D">
        <w:rPr>
          <w:sz w:val="22"/>
          <w:szCs w:val="22"/>
        </w:rPr>
        <w:t xml:space="preserve">were discussed and agreed by the Diamond Place Planning </w:t>
      </w:r>
      <w:r w:rsidR="004E251D" w:rsidRPr="004E251D">
        <w:rPr>
          <w:sz w:val="22"/>
          <w:szCs w:val="22"/>
        </w:rPr>
        <w:t>Subgroup</w:t>
      </w:r>
      <w:r w:rsidRPr="004E251D">
        <w:rPr>
          <w:sz w:val="22"/>
          <w:szCs w:val="22"/>
        </w:rPr>
        <w:t xml:space="preserve"> on 13 January 2023</w:t>
      </w:r>
      <w:r w:rsidR="004E251D" w:rsidRPr="004E251D">
        <w:rPr>
          <w:sz w:val="22"/>
          <w:szCs w:val="22"/>
        </w:rPr>
        <w:t>. This was in preparation for the tripartite discussion with the Council and University on 17 January 2023</w:t>
      </w:r>
      <w:r w:rsidR="004E251D">
        <w:rPr>
          <w:sz w:val="22"/>
          <w:szCs w:val="22"/>
        </w:rPr>
        <w:t xml:space="preserve"> to discuss priorities and ‘red lines’ from each party</w:t>
      </w:r>
      <w:r w:rsidRPr="004E251D">
        <w:rPr>
          <w:sz w:val="22"/>
          <w:szCs w:val="22"/>
        </w:rPr>
        <w:t>:</w:t>
      </w:r>
    </w:p>
    <w:p w14:paraId="0CD586F2" w14:textId="76A69B6C" w:rsidR="004E251D" w:rsidRPr="004E251D" w:rsidRDefault="004E251D">
      <w:pPr>
        <w:rPr>
          <w:sz w:val="22"/>
          <w:szCs w:val="22"/>
        </w:rPr>
      </w:pPr>
    </w:p>
    <w:p w14:paraId="70A57033" w14:textId="15CE3902" w:rsidR="004E251D" w:rsidRPr="004E251D" w:rsidRDefault="004E251D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3"/>
        <w:gridCol w:w="6064"/>
      </w:tblGrid>
      <w:tr w:rsidR="008453BA" w14:paraId="31289905" w14:textId="77777777" w:rsidTr="008453BA">
        <w:tc>
          <w:tcPr>
            <w:tcW w:w="3003" w:type="dxa"/>
            <w:shd w:val="clear" w:color="auto" w:fill="F2F2F2" w:themeFill="background1" w:themeFillShade="F2"/>
          </w:tcPr>
          <w:p w14:paraId="33314BF9" w14:textId="2BD4BAE3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 xml:space="preserve">Priority </w:t>
            </w:r>
          </w:p>
        </w:tc>
        <w:tc>
          <w:tcPr>
            <w:tcW w:w="6064" w:type="dxa"/>
            <w:shd w:val="clear" w:color="auto" w:fill="F2F2F2" w:themeFill="background1" w:themeFillShade="F2"/>
          </w:tcPr>
          <w:p w14:paraId="7A809031" w14:textId="60EB2A01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Back-up Priorities</w:t>
            </w:r>
          </w:p>
        </w:tc>
      </w:tr>
      <w:tr w:rsidR="008453BA" w14:paraId="0C67ACAA" w14:textId="77777777" w:rsidTr="008453BA">
        <w:tc>
          <w:tcPr>
            <w:tcW w:w="3003" w:type="dxa"/>
          </w:tcPr>
          <w:p w14:paraId="5E33E8B5" w14:textId="77777777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Health Centre</w:t>
            </w:r>
          </w:p>
          <w:p w14:paraId="7D8319F9" w14:textId="1968A2A2" w:rsidR="00B27722" w:rsidRPr="00265F6A" w:rsidRDefault="00B277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4" w:type="dxa"/>
          </w:tcPr>
          <w:p w14:paraId="6EB40D1B" w14:textId="18ED2B48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Number One Priority and driving Timelines</w:t>
            </w:r>
          </w:p>
        </w:tc>
      </w:tr>
      <w:tr w:rsidR="008453BA" w14:paraId="07979F05" w14:textId="77777777" w:rsidTr="008453BA">
        <w:tc>
          <w:tcPr>
            <w:tcW w:w="3003" w:type="dxa"/>
          </w:tcPr>
          <w:p w14:paraId="49C4C916" w14:textId="77777777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Integrated Design with Phased Development</w:t>
            </w:r>
          </w:p>
          <w:p w14:paraId="00579FF2" w14:textId="08734904" w:rsidR="00B27722" w:rsidRPr="00265F6A" w:rsidRDefault="00B277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4" w:type="dxa"/>
          </w:tcPr>
          <w:p w14:paraId="58426E8B" w14:textId="4BA7A8FE" w:rsidR="008453BA" w:rsidRPr="00265F6A" w:rsidRDefault="002A310E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Allowing part of build to happen in advance of others but within overall integrated development designs and parameters</w:t>
            </w:r>
          </w:p>
        </w:tc>
      </w:tr>
      <w:tr w:rsidR="008453BA" w14:paraId="456457C9" w14:textId="77777777" w:rsidTr="008453BA">
        <w:tc>
          <w:tcPr>
            <w:tcW w:w="3003" w:type="dxa"/>
          </w:tcPr>
          <w:p w14:paraId="027747A6" w14:textId="77777777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Zero Carbon, Sustainable Development including Biodiversity Plan</w:t>
            </w:r>
          </w:p>
          <w:p w14:paraId="5EBC3218" w14:textId="1D633865" w:rsidR="00B27722" w:rsidRPr="00265F6A" w:rsidRDefault="00B277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4" w:type="dxa"/>
          </w:tcPr>
          <w:p w14:paraId="053E62E3" w14:textId="7AE24EC9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Infrastructure Adaptability for future needs built in (e.g. car parking)</w:t>
            </w:r>
            <w:r w:rsidR="002A310E" w:rsidRPr="00265F6A">
              <w:rPr>
                <w:rFonts w:cstheme="minorHAnsi"/>
                <w:sz w:val="22"/>
                <w:szCs w:val="22"/>
              </w:rPr>
              <w:t xml:space="preserve">; </w:t>
            </w:r>
            <w:r w:rsidR="00B27722" w:rsidRPr="00265F6A">
              <w:rPr>
                <w:rFonts w:cstheme="minorHAnsi"/>
                <w:sz w:val="22"/>
                <w:szCs w:val="22"/>
              </w:rPr>
              <w:t xml:space="preserve">Including public green spaces; Buildings designed to adapt to changing climate, </w:t>
            </w:r>
            <w:r w:rsidR="002A310E" w:rsidRPr="00265F6A">
              <w:rPr>
                <w:rFonts w:cstheme="minorHAnsi"/>
                <w:sz w:val="22"/>
                <w:szCs w:val="22"/>
              </w:rPr>
              <w:t xml:space="preserve">and </w:t>
            </w:r>
            <w:r w:rsidR="00B27722" w:rsidRPr="00265F6A">
              <w:rPr>
                <w:rFonts w:cstheme="minorHAnsi"/>
                <w:sz w:val="22"/>
                <w:szCs w:val="22"/>
              </w:rPr>
              <w:t>for health living</w:t>
            </w:r>
          </w:p>
        </w:tc>
      </w:tr>
      <w:tr w:rsidR="008453BA" w14:paraId="77D4CA3B" w14:textId="77777777" w:rsidTr="008453BA">
        <w:tc>
          <w:tcPr>
            <w:tcW w:w="3003" w:type="dxa"/>
          </w:tcPr>
          <w:p w14:paraId="01172E78" w14:textId="77777777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Social Infrastructure Development recognising Social Value and Impact</w:t>
            </w:r>
          </w:p>
          <w:p w14:paraId="35889223" w14:textId="35044D53" w:rsidR="00B27722" w:rsidRPr="00265F6A" w:rsidRDefault="00B277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4" w:type="dxa"/>
          </w:tcPr>
          <w:p w14:paraId="680A8D1F" w14:textId="61308A16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Rebuild NOA</w:t>
            </w:r>
            <w:r w:rsidR="00B27722" w:rsidRPr="00265F6A">
              <w:rPr>
                <w:rFonts w:cstheme="minorHAnsi"/>
                <w:sz w:val="22"/>
                <w:szCs w:val="22"/>
              </w:rPr>
              <w:t>,</w:t>
            </w:r>
            <w:r w:rsidRPr="00265F6A">
              <w:rPr>
                <w:rFonts w:cstheme="minorHAnsi"/>
                <w:sz w:val="22"/>
                <w:szCs w:val="22"/>
              </w:rPr>
              <w:t xml:space="preserve"> Affordable Housing for Older People</w:t>
            </w:r>
            <w:r w:rsidR="00B27722" w:rsidRPr="00265F6A">
              <w:rPr>
                <w:rFonts w:cstheme="minorHAnsi"/>
                <w:sz w:val="22"/>
                <w:szCs w:val="22"/>
              </w:rPr>
              <w:t xml:space="preserve"> (i</w:t>
            </w:r>
            <w:r w:rsidR="002A310E" w:rsidRPr="00265F6A">
              <w:rPr>
                <w:rFonts w:cstheme="minorHAnsi"/>
                <w:sz w:val="22"/>
                <w:szCs w:val="22"/>
              </w:rPr>
              <w:t>n</w:t>
            </w:r>
            <w:r w:rsidR="00B27722" w:rsidRPr="00265F6A">
              <w:rPr>
                <w:rFonts w:cstheme="minorHAnsi"/>
                <w:sz w:val="22"/>
                <w:szCs w:val="22"/>
              </w:rPr>
              <w:t>cl. Commercial)</w:t>
            </w:r>
            <w:r w:rsidRPr="00265F6A">
              <w:rPr>
                <w:rFonts w:cstheme="minorHAnsi"/>
                <w:sz w:val="22"/>
                <w:szCs w:val="22"/>
              </w:rPr>
              <w:t xml:space="preserve">, Social Housing, Social Value recognised, in economic terms if necessary (e.g. cost of </w:t>
            </w:r>
            <w:proofErr w:type="gramStart"/>
            <w:r w:rsidRPr="00265F6A">
              <w:rPr>
                <w:rFonts w:cstheme="minorHAnsi"/>
                <w:sz w:val="22"/>
                <w:szCs w:val="22"/>
              </w:rPr>
              <w:t>long term</w:t>
            </w:r>
            <w:proofErr w:type="gramEnd"/>
            <w:r w:rsidRPr="00265F6A">
              <w:rPr>
                <w:rFonts w:cstheme="minorHAnsi"/>
                <w:sz w:val="22"/>
                <w:szCs w:val="22"/>
              </w:rPr>
              <w:t xml:space="preserve"> health issues untreated)</w:t>
            </w:r>
          </w:p>
        </w:tc>
      </w:tr>
      <w:tr w:rsidR="008453BA" w14:paraId="6D4B2ED1" w14:textId="77777777" w:rsidTr="008453BA">
        <w:tc>
          <w:tcPr>
            <w:tcW w:w="3003" w:type="dxa"/>
          </w:tcPr>
          <w:p w14:paraId="4B24CE8F" w14:textId="77777777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Clear Development Framework and Masterplan including Timelines</w:t>
            </w:r>
          </w:p>
          <w:p w14:paraId="4F5CA939" w14:textId="715E5662" w:rsidR="00B27722" w:rsidRPr="00265F6A" w:rsidRDefault="00B2772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4" w:type="dxa"/>
          </w:tcPr>
          <w:p w14:paraId="6C50A808" w14:textId="13CFBDBB" w:rsidR="008453BA" w:rsidRPr="00265F6A" w:rsidRDefault="008453B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Time scale driven by Health Centre urgent needs (lease end 2027)</w:t>
            </w:r>
            <w:r w:rsidR="002A310E" w:rsidRPr="00265F6A">
              <w:rPr>
                <w:rFonts w:cstheme="minorHAnsi"/>
                <w:sz w:val="22"/>
                <w:szCs w:val="22"/>
              </w:rPr>
              <w:t>; Commitment to next stage actual delivery (more than a plan)</w:t>
            </w:r>
          </w:p>
        </w:tc>
      </w:tr>
      <w:tr w:rsidR="00265F6A" w14:paraId="03E044F7" w14:textId="77777777" w:rsidTr="008453BA">
        <w:tc>
          <w:tcPr>
            <w:tcW w:w="3003" w:type="dxa"/>
          </w:tcPr>
          <w:p w14:paraId="63888716" w14:textId="1746842D" w:rsidR="00265F6A" w:rsidRPr="00265F6A" w:rsidRDefault="00265F6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sz w:val="22"/>
                <w:szCs w:val="22"/>
              </w:rPr>
              <w:t>Making a Place part of Summertown</w:t>
            </w:r>
          </w:p>
        </w:tc>
        <w:tc>
          <w:tcPr>
            <w:tcW w:w="6064" w:type="dxa"/>
          </w:tcPr>
          <w:p w14:paraId="07B34810" w14:textId="7D262107" w:rsidR="00265F6A" w:rsidRPr="00265F6A" w:rsidRDefault="00265F6A">
            <w:pPr>
              <w:rPr>
                <w:rFonts w:cstheme="minorHAnsi"/>
                <w:sz w:val="22"/>
                <w:szCs w:val="22"/>
              </w:rPr>
            </w:pPr>
            <w:r w:rsidRPr="00265F6A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Connectivity to surrounds. Safe permeable streets with active edges. Medium rise, high </w:t>
            </w:r>
            <w:proofErr w:type="gramStart"/>
            <w:r w:rsidRPr="00265F6A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density</w:t>
            </w:r>
            <w:proofErr w:type="gramEnd"/>
            <w:r w:rsidRPr="00265F6A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and animated architecture.</w:t>
            </w:r>
          </w:p>
        </w:tc>
      </w:tr>
    </w:tbl>
    <w:p w14:paraId="236DCB88" w14:textId="77777777" w:rsidR="004E251D" w:rsidRPr="004E251D" w:rsidRDefault="004E251D">
      <w:pPr>
        <w:rPr>
          <w:sz w:val="22"/>
          <w:szCs w:val="22"/>
        </w:rPr>
      </w:pPr>
    </w:p>
    <w:p w14:paraId="16C403B3" w14:textId="78CEAE19" w:rsidR="008A4AA0" w:rsidRPr="004E251D" w:rsidRDefault="008A4AA0">
      <w:pPr>
        <w:rPr>
          <w:sz w:val="22"/>
          <w:szCs w:val="22"/>
        </w:rPr>
      </w:pPr>
    </w:p>
    <w:p w14:paraId="2BF9E2E4" w14:textId="77777777" w:rsidR="008A4AA0" w:rsidRPr="004E251D" w:rsidRDefault="008A4AA0">
      <w:pPr>
        <w:rPr>
          <w:sz w:val="22"/>
          <w:szCs w:val="22"/>
        </w:rPr>
      </w:pPr>
    </w:p>
    <w:sectPr w:rsidR="008A4AA0" w:rsidRPr="004E251D" w:rsidSect="009B5F5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E5"/>
    <w:rsid w:val="000E2B37"/>
    <w:rsid w:val="001A1302"/>
    <w:rsid w:val="00265F6A"/>
    <w:rsid w:val="002A310E"/>
    <w:rsid w:val="003F0256"/>
    <w:rsid w:val="004E251D"/>
    <w:rsid w:val="00555230"/>
    <w:rsid w:val="00555C16"/>
    <w:rsid w:val="007E041D"/>
    <w:rsid w:val="007E0DE5"/>
    <w:rsid w:val="008453BA"/>
    <w:rsid w:val="008A4AA0"/>
    <w:rsid w:val="009B5F5F"/>
    <w:rsid w:val="00B27722"/>
    <w:rsid w:val="00B5450C"/>
    <w:rsid w:val="00CB3AFA"/>
    <w:rsid w:val="00EE4B1B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7702"/>
  <w15:chartTrackingRefBased/>
  <w15:docId w15:val="{EC53D151-D7BD-564F-A8CB-DCA11916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Grindey</dc:creator>
  <cp:keywords/>
  <dc:description/>
  <cp:lastModifiedBy>Natasha Robinson</cp:lastModifiedBy>
  <cp:revision>2</cp:revision>
  <dcterms:created xsi:type="dcterms:W3CDTF">2023-02-03T14:47:00Z</dcterms:created>
  <dcterms:modified xsi:type="dcterms:W3CDTF">2023-02-03T14:47:00Z</dcterms:modified>
</cp:coreProperties>
</file>